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57" w:rsidRPr="00286A57" w:rsidRDefault="00286A57" w:rsidP="00286A57">
      <w:pPr>
        <w:pStyle w:val="ab"/>
        <w:ind w:left="426"/>
        <w:jc w:val="center"/>
        <w:rPr>
          <w:rStyle w:val="a8"/>
          <w:rFonts w:ascii="Times New Roman" w:hAnsi="Times New Roman" w:cs="Times New Roman"/>
          <w:sz w:val="28"/>
          <w:szCs w:val="28"/>
          <w:u w:val="single"/>
        </w:rPr>
      </w:pPr>
      <w:r w:rsidRPr="00286A57">
        <w:rPr>
          <w:rStyle w:val="a8"/>
          <w:rFonts w:ascii="Times New Roman" w:hAnsi="Times New Roman" w:cs="Times New Roman"/>
          <w:sz w:val="28"/>
          <w:szCs w:val="28"/>
          <w:u w:val="single"/>
        </w:rPr>
        <w:t>РАЗДЕЛЬНЫЙ СБОР Т</w:t>
      </w:r>
      <w:r w:rsidR="009677A2">
        <w:rPr>
          <w:rStyle w:val="a8"/>
          <w:rFonts w:ascii="Times New Roman" w:hAnsi="Times New Roman" w:cs="Times New Roman"/>
          <w:sz w:val="28"/>
          <w:szCs w:val="28"/>
          <w:u w:val="single"/>
        </w:rPr>
        <w:t>К</w:t>
      </w:r>
      <w:r w:rsidRPr="00286A57">
        <w:rPr>
          <w:rStyle w:val="a8"/>
          <w:rFonts w:ascii="Times New Roman" w:hAnsi="Times New Roman" w:cs="Times New Roman"/>
          <w:sz w:val="28"/>
          <w:szCs w:val="28"/>
          <w:u w:val="single"/>
        </w:rPr>
        <w:t xml:space="preserve">О — ШАГ К </w:t>
      </w:r>
      <w:proofErr w:type="gramStart"/>
      <w:r w:rsidRPr="00286A57">
        <w:rPr>
          <w:rStyle w:val="a8"/>
          <w:rFonts w:ascii="Times New Roman" w:hAnsi="Times New Roman" w:cs="Times New Roman"/>
          <w:sz w:val="28"/>
          <w:szCs w:val="28"/>
          <w:u w:val="single"/>
        </w:rPr>
        <w:t>ЭКОЛОГИЧЕСКОЙ</w:t>
      </w:r>
      <w:proofErr w:type="gramEnd"/>
    </w:p>
    <w:p w:rsidR="00286A57" w:rsidRPr="00286A57" w:rsidRDefault="00286A57" w:rsidP="00286A57">
      <w:pPr>
        <w:pStyle w:val="ab"/>
        <w:ind w:left="426"/>
        <w:jc w:val="center"/>
        <w:rPr>
          <w:rStyle w:val="a8"/>
          <w:rFonts w:ascii="Times New Roman" w:hAnsi="Times New Roman" w:cs="Times New Roman"/>
          <w:sz w:val="28"/>
          <w:szCs w:val="28"/>
          <w:u w:val="single"/>
        </w:rPr>
      </w:pPr>
      <w:r w:rsidRPr="00286A57">
        <w:rPr>
          <w:rStyle w:val="a8"/>
          <w:rFonts w:ascii="Times New Roman" w:hAnsi="Times New Roman" w:cs="Times New Roman"/>
          <w:sz w:val="28"/>
          <w:szCs w:val="28"/>
          <w:u w:val="single"/>
        </w:rPr>
        <w:t xml:space="preserve"> БЕЗОПАСНОСТИ ГОСУДАРСТВА</w:t>
      </w:r>
    </w:p>
    <w:p w:rsidR="00286A57" w:rsidRPr="00286A57" w:rsidRDefault="00286A57" w:rsidP="00286A57">
      <w:pPr>
        <w:pStyle w:val="ab"/>
        <w:ind w:left="426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286A57">
        <w:rPr>
          <w:rStyle w:val="a8"/>
          <w:rFonts w:ascii="Times New Roman" w:hAnsi="Times New Roman" w:cs="Times New Roman"/>
          <w:sz w:val="28"/>
          <w:szCs w:val="28"/>
        </w:rPr>
        <w:t>По данным, представленным в государственном докладе «О состоянии и об охране окружающей среды Российской Федерации в 201</w:t>
      </w:r>
      <w:r w:rsidR="009677A2">
        <w:rPr>
          <w:rStyle w:val="a8"/>
          <w:rFonts w:ascii="Times New Roman" w:hAnsi="Times New Roman" w:cs="Times New Roman"/>
          <w:sz w:val="28"/>
          <w:szCs w:val="28"/>
        </w:rPr>
        <w:t>5</w:t>
      </w:r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 году», количество твердых бытовых отходов (далее — ТБО) в 2011 г. составило 52,9 </w:t>
      </w:r>
      <w:proofErr w:type="gramStart"/>
      <w:r w:rsidRPr="00286A57">
        <w:rPr>
          <w:rStyle w:val="a8"/>
          <w:rFonts w:ascii="Times New Roman" w:hAnsi="Times New Roman" w:cs="Times New Roman"/>
          <w:sz w:val="28"/>
          <w:szCs w:val="28"/>
        </w:rPr>
        <w:t>млн</w:t>
      </w:r>
      <w:proofErr w:type="gramEnd"/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 т. Средний показатель образования ТБО на душу населения — 0,4 т/чел. Организовано 14 684 новых санкционированных места размещения отходов общей площадью 4 070,158 тыс. га. </w:t>
      </w:r>
      <w:proofErr w:type="gramStart"/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По сведениям </w:t>
      </w:r>
      <w:proofErr w:type="spellStart"/>
      <w:r w:rsidRPr="00286A57">
        <w:rPr>
          <w:rStyle w:val="a8"/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, выявлена 23 041 несанкционированная свалка ТБО, из них ликвидировано 14 155. 57 % свалок ТБО расположены на землях населенных пунктов, 16 % — на землях сельскохозяйственного назначения, 15 % — в </w:t>
      </w:r>
      <w:proofErr w:type="spellStart"/>
      <w:r w:rsidRPr="00286A57">
        <w:rPr>
          <w:rStyle w:val="a8"/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 зонах, 8 % — на землях лесного фонда.</w:t>
      </w:r>
      <w:proofErr w:type="gramEnd"/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A57">
        <w:rPr>
          <w:rStyle w:val="a8"/>
          <w:rFonts w:ascii="Times New Roman" w:hAnsi="Times New Roman" w:cs="Times New Roman"/>
          <w:sz w:val="28"/>
          <w:szCs w:val="28"/>
        </w:rPr>
        <w:t>Хотя официальные данные пока не опубликованы, можно не сомневаться, что ситуация с образованием Т</w:t>
      </w:r>
      <w:r w:rsidR="009677A2">
        <w:rPr>
          <w:rStyle w:val="a8"/>
          <w:rFonts w:ascii="Times New Roman" w:hAnsi="Times New Roman" w:cs="Times New Roman"/>
          <w:sz w:val="28"/>
          <w:szCs w:val="28"/>
        </w:rPr>
        <w:t>К</w:t>
      </w:r>
      <w:r w:rsidRPr="00286A57">
        <w:rPr>
          <w:rStyle w:val="a8"/>
          <w:rFonts w:ascii="Times New Roman" w:hAnsi="Times New Roman" w:cs="Times New Roman"/>
          <w:sz w:val="28"/>
          <w:szCs w:val="28"/>
        </w:rPr>
        <w:t>О в 201</w:t>
      </w:r>
      <w:r w:rsidR="009677A2">
        <w:rPr>
          <w:rStyle w:val="a8"/>
          <w:rFonts w:ascii="Times New Roman" w:hAnsi="Times New Roman" w:cs="Times New Roman"/>
          <w:sz w:val="28"/>
          <w:szCs w:val="28"/>
        </w:rPr>
        <w:t>7</w:t>
      </w:r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 г. мало чем отличается от ситуации 201</w:t>
      </w:r>
      <w:r w:rsidR="009677A2">
        <w:rPr>
          <w:rStyle w:val="a8"/>
          <w:rFonts w:ascii="Times New Roman" w:hAnsi="Times New Roman" w:cs="Times New Roman"/>
          <w:sz w:val="28"/>
          <w:szCs w:val="28"/>
        </w:rPr>
        <w:t>5</w:t>
      </w:r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 г. И пока на всех уровнях власти решается вопрос о том, что необходимо делать с постоянно растущими объемами </w:t>
      </w:r>
      <w:r w:rsidR="009677A2" w:rsidRPr="00286A57">
        <w:rPr>
          <w:rStyle w:val="a8"/>
          <w:rFonts w:ascii="Times New Roman" w:hAnsi="Times New Roman" w:cs="Times New Roman"/>
          <w:sz w:val="28"/>
          <w:szCs w:val="28"/>
        </w:rPr>
        <w:t>Т</w:t>
      </w:r>
      <w:r w:rsidR="009677A2">
        <w:rPr>
          <w:rStyle w:val="a8"/>
          <w:rFonts w:ascii="Times New Roman" w:hAnsi="Times New Roman" w:cs="Times New Roman"/>
          <w:sz w:val="28"/>
          <w:szCs w:val="28"/>
        </w:rPr>
        <w:t>К</w:t>
      </w:r>
      <w:r w:rsidR="009677A2" w:rsidRPr="00286A57">
        <w:rPr>
          <w:rStyle w:val="a8"/>
          <w:rFonts w:ascii="Times New Roman" w:hAnsi="Times New Roman" w:cs="Times New Roman"/>
          <w:sz w:val="28"/>
          <w:szCs w:val="28"/>
        </w:rPr>
        <w:t>О</w:t>
      </w:r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, наши города </w:t>
      </w:r>
      <w:r w:rsidR="009677A2">
        <w:rPr>
          <w:rStyle w:val="a8"/>
          <w:rFonts w:ascii="Times New Roman" w:hAnsi="Times New Roman" w:cs="Times New Roman"/>
          <w:sz w:val="28"/>
          <w:szCs w:val="28"/>
        </w:rPr>
        <w:t xml:space="preserve">и села </w:t>
      </w:r>
      <w:r w:rsidRPr="00286A57">
        <w:rPr>
          <w:rStyle w:val="a8"/>
          <w:rFonts w:ascii="Times New Roman" w:hAnsi="Times New Roman" w:cs="Times New Roman"/>
          <w:sz w:val="28"/>
          <w:szCs w:val="28"/>
        </w:rPr>
        <w:t>все глубже «погружаются» в море образующихся отходов.</w:t>
      </w:r>
      <w:proofErr w:type="gramEnd"/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 Вывод напрашивается сам: медлить нельзя — в вопросе создания эффективной системы управления отходами время работает против нас.</w:t>
      </w:r>
    </w:p>
    <w:p w:rsidR="00286A57" w:rsidRPr="00286A57" w:rsidRDefault="00286A57" w:rsidP="00286A57">
      <w:pPr>
        <w:pStyle w:val="ab"/>
        <w:ind w:left="426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Вот уже несколько лет в России на различных уровнях власти рассматриваются возможные пути сокращения объемов отходов, поступающих на захоронение на полигоны, и минимизации их воздействия на окружающую среду. Один из главных вопросов, на который пытаются найти ответ: строить мусоросжигательные заводы или вводить селективный сбор </w:t>
      </w:r>
      <w:r w:rsidR="009677A2" w:rsidRPr="00286A57">
        <w:rPr>
          <w:rStyle w:val="a8"/>
          <w:rFonts w:ascii="Times New Roman" w:hAnsi="Times New Roman" w:cs="Times New Roman"/>
          <w:sz w:val="28"/>
          <w:szCs w:val="28"/>
        </w:rPr>
        <w:t>Т</w:t>
      </w:r>
      <w:r w:rsidR="009677A2">
        <w:rPr>
          <w:rStyle w:val="a8"/>
          <w:rFonts w:ascii="Times New Roman" w:hAnsi="Times New Roman" w:cs="Times New Roman"/>
          <w:sz w:val="28"/>
          <w:szCs w:val="28"/>
        </w:rPr>
        <w:t>К</w:t>
      </w:r>
      <w:r w:rsidR="009677A2" w:rsidRPr="00286A57">
        <w:rPr>
          <w:rStyle w:val="a8"/>
          <w:rFonts w:ascii="Times New Roman" w:hAnsi="Times New Roman" w:cs="Times New Roman"/>
          <w:sz w:val="28"/>
          <w:szCs w:val="28"/>
        </w:rPr>
        <w:t>О</w:t>
      </w:r>
      <w:r w:rsidRPr="00286A57">
        <w:rPr>
          <w:rStyle w:val="a8"/>
          <w:rFonts w:ascii="Times New Roman" w:hAnsi="Times New Roman" w:cs="Times New Roman"/>
          <w:sz w:val="28"/>
          <w:szCs w:val="28"/>
        </w:rPr>
        <w:t>? Эксперты разделились на два лагеря.</w:t>
      </w:r>
    </w:p>
    <w:p w:rsidR="00286A57" w:rsidRPr="00286A57" w:rsidRDefault="00286A57" w:rsidP="00286A57">
      <w:pPr>
        <w:pStyle w:val="ab"/>
        <w:ind w:left="426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286A57">
        <w:rPr>
          <w:rStyle w:val="a8"/>
          <w:rFonts w:ascii="Times New Roman" w:hAnsi="Times New Roman" w:cs="Times New Roman"/>
          <w:sz w:val="28"/>
          <w:szCs w:val="28"/>
        </w:rPr>
        <w:t>Существует мировой многолетний опыт по обращению с отходами. Все европейские страны США, Япония и многие другие давно уже ввели систему раздельного сбора мусора в общую систему обращения с отходами. Их опыт показал, что для того, чтобы система по обращению с отходами была эффективна, ее составными элементами должны быть раздельный сбор мусора и его переработка на вторичное сырье.</w:t>
      </w:r>
    </w:p>
    <w:p w:rsidR="00286A57" w:rsidRPr="00286A57" w:rsidRDefault="00286A57" w:rsidP="00286A57">
      <w:pPr>
        <w:pStyle w:val="ab"/>
        <w:ind w:left="426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Распространенные сегодня разговоры о том, что европейские страны отказываются от такой схемы управления отходами, — это, мягко говоря, искажение фактов, причем хорошо, если не умышленное! </w:t>
      </w:r>
      <w:proofErr w:type="gramStart"/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В таблице представлены результаты анализа данных о соотношении количества муниципальных </w:t>
      </w:r>
      <w:r w:rsidR="009677A2" w:rsidRPr="00286A57">
        <w:rPr>
          <w:rStyle w:val="a8"/>
          <w:rFonts w:ascii="Times New Roman" w:hAnsi="Times New Roman" w:cs="Times New Roman"/>
          <w:sz w:val="28"/>
          <w:szCs w:val="28"/>
        </w:rPr>
        <w:t>Т</w:t>
      </w:r>
      <w:r w:rsidR="009677A2">
        <w:rPr>
          <w:rStyle w:val="a8"/>
          <w:rFonts w:ascii="Times New Roman" w:hAnsi="Times New Roman" w:cs="Times New Roman"/>
          <w:sz w:val="28"/>
          <w:szCs w:val="28"/>
        </w:rPr>
        <w:t>К</w:t>
      </w:r>
      <w:r w:rsidR="009677A2" w:rsidRPr="00286A57">
        <w:rPr>
          <w:rStyle w:val="a8"/>
          <w:rFonts w:ascii="Times New Roman" w:hAnsi="Times New Roman" w:cs="Times New Roman"/>
          <w:sz w:val="28"/>
          <w:szCs w:val="28"/>
        </w:rPr>
        <w:t>О</w:t>
      </w:r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, направляемых на использование в качестве вторичных материальных ресурсов (биотермическую переработку и </w:t>
      </w:r>
      <w:proofErr w:type="spellStart"/>
      <w:r w:rsidRPr="00286A57">
        <w:rPr>
          <w:rStyle w:val="a8"/>
          <w:rFonts w:ascii="Times New Roman" w:hAnsi="Times New Roman" w:cs="Times New Roman"/>
          <w:sz w:val="28"/>
          <w:szCs w:val="28"/>
        </w:rPr>
        <w:t>рециклинг</w:t>
      </w:r>
      <w:proofErr w:type="spellEnd"/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), к количеству муниципальных </w:t>
      </w:r>
      <w:r w:rsidR="009677A2" w:rsidRPr="00286A57">
        <w:rPr>
          <w:rStyle w:val="a8"/>
          <w:rFonts w:ascii="Times New Roman" w:hAnsi="Times New Roman" w:cs="Times New Roman"/>
          <w:sz w:val="28"/>
          <w:szCs w:val="28"/>
        </w:rPr>
        <w:t>Т</w:t>
      </w:r>
      <w:r w:rsidR="009677A2">
        <w:rPr>
          <w:rStyle w:val="a8"/>
          <w:rFonts w:ascii="Times New Roman" w:hAnsi="Times New Roman" w:cs="Times New Roman"/>
          <w:sz w:val="28"/>
          <w:szCs w:val="28"/>
        </w:rPr>
        <w:t>К</w:t>
      </w:r>
      <w:r w:rsidR="009677A2" w:rsidRPr="00286A57">
        <w:rPr>
          <w:rStyle w:val="a8"/>
          <w:rFonts w:ascii="Times New Roman" w:hAnsi="Times New Roman" w:cs="Times New Roman"/>
          <w:sz w:val="28"/>
          <w:szCs w:val="28"/>
        </w:rPr>
        <w:t>О</w:t>
      </w:r>
      <w:r w:rsidRPr="00286A57">
        <w:rPr>
          <w:rStyle w:val="a8"/>
          <w:rFonts w:ascii="Times New Roman" w:hAnsi="Times New Roman" w:cs="Times New Roman"/>
          <w:sz w:val="28"/>
          <w:szCs w:val="28"/>
        </w:rPr>
        <w:t>, направляемых на сжигание в различных европейских странах</w:t>
      </w:r>
      <w:bookmarkStart w:id="0" w:name="_ftnref3"/>
      <w:r w:rsidRPr="00286A57">
        <w:rPr>
          <w:rStyle w:val="a8"/>
          <w:rFonts w:ascii="Times New Roman" w:hAnsi="Times New Roman" w:cs="Times New Roman"/>
          <w:sz w:val="28"/>
          <w:szCs w:val="28"/>
        </w:rPr>
        <w:fldChar w:fldCharType="begin"/>
      </w:r>
      <w:r w:rsidRPr="00286A57">
        <w:rPr>
          <w:rStyle w:val="a8"/>
          <w:rFonts w:ascii="Times New Roman" w:hAnsi="Times New Roman" w:cs="Times New Roman"/>
          <w:sz w:val="28"/>
          <w:szCs w:val="28"/>
        </w:rPr>
        <w:instrText xml:space="preserve"> HYPERLINK "https://www.profiz.ru/eco/5_2013/sbor_tbo/" \l "_ftn3" \o "" </w:instrText>
      </w:r>
      <w:r w:rsidRPr="00286A57">
        <w:rPr>
          <w:rStyle w:val="a8"/>
          <w:rFonts w:ascii="Times New Roman" w:hAnsi="Times New Roman" w:cs="Times New Roman"/>
          <w:sz w:val="28"/>
          <w:szCs w:val="28"/>
        </w:rPr>
        <w:fldChar w:fldCharType="separate"/>
      </w:r>
      <w:r w:rsidRPr="00286A57">
        <w:rPr>
          <w:rStyle w:val="a8"/>
          <w:rFonts w:ascii="Times New Roman" w:hAnsi="Times New Roman" w:cs="Times New Roman"/>
          <w:sz w:val="28"/>
          <w:szCs w:val="28"/>
        </w:rPr>
        <w:t>[3]</w:t>
      </w:r>
      <w:r w:rsidRPr="00286A57">
        <w:rPr>
          <w:rStyle w:val="a8"/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286A57">
        <w:rPr>
          <w:rStyle w:val="a8"/>
          <w:rFonts w:ascii="Times New Roman" w:hAnsi="Times New Roman" w:cs="Times New Roman"/>
          <w:sz w:val="28"/>
          <w:szCs w:val="28"/>
        </w:rPr>
        <w:t>. Для удобства анализа данные приведены к безразмерной величине отношения масс отходов, направленных на переработку и сжигание, т.е. 1 означает, что эти массы равны;</w:t>
      </w:r>
      <w:proofErr w:type="gramEnd"/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 число больше 1 — что масса отходов, направленных на переработку, больше, чем масса отходов, направленных на сжигание.</w:t>
      </w:r>
    </w:p>
    <w:p w:rsidR="00286A57" w:rsidRPr="00286A57" w:rsidRDefault="00286A57" w:rsidP="00286A57">
      <w:pPr>
        <w:pStyle w:val="ab"/>
        <w:ind w:left="426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286A57">
        <w:rPr>
          <w:rStyle w:val="a8"/>
          <w:rFonts w:ascii="Times New Roman" w:hAnsi="Times New Roman" w:cs="Times New Roman"/>
          <w:sz w:val="28"/>
          <w:szCs w:val="28"/>
        </w:rPr>
        <w:lastRenderedPageBreak/>
        <w:t>Как видим, за 12 лет ни одна страна не отказалась от переработки отходов. Количество отходов, направляемых на переработку, практически не снизилось, а в некоторых странах (отмечено зеленым цветом) с 1999 г. это количество даже увеличилось (показатель около 1 и выше). Снижение показателя наблюдается в странах с высокоразвитыми технологиями сбора и переработки отходов. Это можно объяснить тем, что при интенсивном развитии экономики страны возрастают объемы отходов производства и потребления, а производственные мощности по переработке отходов и технологии обновляются медленнее. При совершенствовании и внедрении новых технологий кривая показателя переработки отходов, пройдя минимум, опять начнет расти. Хотя понятно, что этот процесс не бесконечен, но пока и не исчерпан.</w:t>
      </w:r>
    </w:p>
    <w:p w:rsidR="00286A57" w:rsidRPr="00286A57" w:rsidRDefault="00286A57" w:rsidP="00286A57">
      <w:pPr>
        <w:pStyle w:val="ab"/>
        <w:ind w:left="426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286A57">
        <w:rPr>
          <w:rStyle w:val="a8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45CB3D" wp14:editId="0592CB50">
            <wp:extent cx="6432606" cy="4562602"/>
            <wp:effectExtent l="0" t="0" r="6350" b="9525"/>
            <wp:docPr id="12" name="Рисунок 12" descr="https://www.profiz.ru/pictures/different/5_tabl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rofiz.ru/pictures/different/5_tabl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879" cy="456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57">
        <w:rPr>
          <w:rStyle w:val="a8"/>
          <w:rFonts w:ascii="Times New Roman" w:hAnsi="Times New Roman" w:cs="Times New Roman"/>
          <w:sz w:val="28"/>
          <w:szCs w:val="28"/>
        </w:rPr>
        <w:t> </w:t>
      </w:r>
    </w:p>
    <w:p w:rsidR="00286A57" w:rsidRPr="00286A57" w:rsidRDefault="00286A57" w:rsidP="00286A57">
      <w:pPr>
        <w:pStyle w:val="ab"/>
        <w:ind w:left="426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286A57">
        <w:rPr>
          <w:rStyle w:val="a8"/>
          <w:rFonts w:ascii="Times New Roman" w:hAnsi="Times New Roman" w:cs="Times New Roman"/>
          <w:sz w:val="28"/>
          <w:szCs w:val="28"/>
        </w:rPr>
        <w:t> </w:t>
      </w:r>
    </w:p>
    <w:p w:rsidR="00286A57" w:rsidRPr="00286A57" w:rsidRDefault="00286A57" w:rsidP="00286A57">
      <w:pPr>
        <w:pStyle w:val="ab"/>
        <w:ind w:left="426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Следует отметить, что данный показатель в России не работает, потому что наиболее распространенным остается способ ликвидации отходов путем их захоронения на полигонах. Как было указано ранее, только за 2011 г. под новые полигоны и несанкционированные свалки было занято более 4 </w:t>
      </w:r>
      <w:proofErr w:type="gramStart"/>
      <w:r w:rsidRPr="00286A57">
        <w:rPr>
          <w:rStyle w:val="a8"/>
          <w:rFonts w:ascii="Times New Roman" w:hAnsi="Times New Roman" w:cs="Times New Roman"/>
          <w:sz w:val="28"/>
          <w:szCs w:val="28"/>
        </w:rPr>
        <w:t>млн</w:t>
      </w:r>
      <w:proofErr w:type="gramEnd"/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 га земли.</w:t>
      </w:r>
    </w:p>
    <w:p w:rsidR="00286A57" w:rsidRPr="00286A57" w:rsidRDefault="00286A57" w:rsidP="00286A57">
      <w:pPr>
        <w:pStyle w:val="ab"/>
        <w:ind w:left="426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Морфологический состав </w:t>
      </w:r>
      <w:r w:rsidR="009677A2" w:rsidRPr="00286A57">
        <w:rPr>
          <w:rStyle w:val="a8"/>
          <w:rFonts w:ascii="Times New Roman" w:hAnsi="Times New Roman" w:cs="Times New Roman"/>
          <w:sz w:val="28"/>
          <w:szCs w:val="28"/>
        </w:rPr>
        <w:t>Т</w:t>
      </w:r>
      <w:r w:rsidR="009677A2">
        <w:rPr>
          <w:rStyle w:val="a8"/>
          <w:rFonts w:ascii="Times New Roman" w:hAnsi="Times New Roman" w:cs="Times New Roman"/>
          <w:sz w:val="28"/>
          <w:szCs w:val="28"/>
        </w:rPr>
        <w:t>К</w:t>
      </w:r>
      <w:r w:rsidR="009677A2" w:rsidRPr="00286A57">
        <w:rPr>
          <w:rStyle w:val="a8"/>
          <w:rFonts w:ascii="Times New Roman" w:hAnsi="Times New Roman" w:cs="Times New Roman"/>
          <w:sz w:val="28"/>
          <w:szCs w:val="28"/>
        </w:rPr>
        <w:t>О</w:t>
      </w:r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 в России представлен на рис. 2.</w:t>
      </w:r>
    </w:p>
    <w:p w:rsidR="00286A57" w:rsidRPr="00286A57" w:rsidRDefault="00286A57" w:rsidP="00286A57">
      <w:pPr>
        <w:pStyle w:val="ab"/>
        <w:ind w:left="426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286A57">
        <w:rPr>
          <w:rStyle w:val="a8"/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8E821E" wp14:editId="5522B2BB">
            <wp:extent cx="6535973" cy="3362437"/>
            <wp:effectExtent l="0" t="0" r="0" b="0"/>
            <wp:docPr id="11" name="Рисунок 11" descr="https://www.profiz.ru/pictures/different/5_pic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profiz.ru/pictures/different/5_pic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250" cy="33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57">
        <w:rPr>
          <w:rStyle w:val="a8"/>
          <w:rFonts w:ascii="Times New Roman" w:hAnsi="Times New Roman" w:cs="Times New Roman"/>
          <w:sz w:val="28"/>
          <w:szCs w:val="28"/>
        </w:rPr>
        <w:t> </w:t>
      </w:r>
    </w:p>
    <w:p w:rsidR="00286A57" w:rsidRPr="00286A57" w:rsidRDefault="00286A57" w:rsidP="00286A57">
      <w:pPr>
        <w:pStyle w:val="ab"/>
        <w:ind w:left="426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Таким образом, на полигонах ежегодно складируются 17,5 </w:t>
      </w:r>
      <w:proofErr w:type="gramStart"/>
      <w:r w:rsidRPr="00286A57">
        <w:rPr>
          <w:rStyle w:val="a8"/>
          <w:rFonts w:ascii="Times New Roman" w:hAnsi="Times New Roman" w:cs="Times New Roman"/>
          <w:sz w:val="28"/>
          <w:szCs w:val="28"/>
        </w:rPr>
        <w:t>млн</w:t>
      </w:r>
      <w:proofErr w:type="gramEnd"/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 т макулатуры, 2 млн т черных и цветных металлов, 2 млн т полимерных материалов, 20,5 млн т пищевых отходов, 4 млн т стекла и прочих полезных материалов (текстиль и др.) — 4,5 млн т. По нашему мнению, комментарии здесь излишни, т.к. цифры говорят сами за себя.</w:t>
      </w:r>
    </w:p>
    <w:p w:rsidR="00286A57" w:rsidRPr="00286A57" w:rsidRDefault="00286A57" w:rsidP="00286A57">
      <w:pPr>
        <w:pStyle w:val="ab"/>
        <w:ind w:left="426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В настоящее время в Российской Федерации действуют менее 300 предприятий по сортировке и утилизации </w:t>
      </w:r>
      <w:r w:rsidR="009677A2" w:rsidRPr="00286A57">
        <w:rPr>
          <w:rStyle w:val="a8"/>
          <w:rFonts w:ascii="Times New Roman" w:hAnsi="Times New Roman" w:cs="Times New Roman"/>
          <w:sz w:val="28"/>
          <w:szCs w:val="28"/>
        </w:rPr>
        <w:t>Т</w:t>
      </w:r>
      <w:r w:rsidR="009677A2">
        <w:rPr>
          <w:rStyle w:val="a8"/>
          <w:rFonts w:ascii="Times New Roman" w:hAnsi="Times New Roman" w:cs="Times New Roman"/>
          <w:sz w:val="28"/>
          <w:szCs w:val="28"/>
        </w:rPr>
        <w:t>К</w:t>
      </w:r>
      <w:r w:rsidR="009677A2" w:rsidRPr="00286A57">
        <w:rPr>
          <w:rStyle w:val="a8"/>
          <w:rFonts w:ascii="Times New Roman" w:hAnsi="Times New Roman" w:cs="Times New Roman"/>
          <w:sz w:val="28"/>
          <w:szCs w:val="28"/>
        </w:rPr>
        <w:t>О</w:t>
      </w:r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, а уровень переработки </w:t>
      </w:r>
      <w:r w:rsidR="009677A2" w:rsidRPr="00286A57">
        <w:rPr>
          <w:rStyle w:val="a8"/>
          <w:rFonts w:ascii="Times New Roman" w:hAnsi="Times New Roman" w:cs="Times New Roman"/>
          <w:sz w:val="28"/>
          <w:szCs w:val="28"/>
        </w:rPr>
        <w:t>Т</w:t>
      </w:r>
      <w:r w:rsidR="009677A2">
        <w:rPr>
          <w:rStyle w:val="a8"/>
          <w:rFonts w:ascii="Times New Roman" w:hAnsi="Times New Roman" w:cs="Times New Roman"/>
          <w:sz w:val="28"/>
          <w:szCs w:val="28"/>
        </w:rPr>
        <w:t>К</w:t>
      </w:r>
      <w:r w:rsidR="009677A2" w:rsidRPr="00286A57">
        <w:rPr>
          <w:rStyle w:val="a8"/>
          <w:rFonts w:ascii="Times New Roman" w:hAnsi="Times New Roman" w:cs="Times New Roman"/>
          <w:sz w:val="28"/>
          <w:szCs w:val="28"/>
        </w:rPr>
        <w:t>О</w:t>
      </w:r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 не превышает 5–7 %. Во многих странах Европы этот показатель составляет более 60 %, и это не предел.</w:t>
      </w:r>
    </w:p>
    <w:p w:rsidR="00286A57" w:rsidRPr="00286A57" w:rsidRDefault="00286A57" w:rsidP="00286A57">
      <w:pPr>
        <w:pStyle w:val="ab"/>
        <w:ind w:left="426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Например, в Египте система сбора отходов является архаичной, тем не </w:t>
      </w:r>
      <w:proofErr w:type="gramStart"/>
      <w:r w:rsidRPr="00286A57">
        <w:rPr>
          <w:rStyle w:val="a8"/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 она признается одной из самых эффективных в мире: </w:t>
      </w:r>
      <w:proofErr w:type="spellStart"/>
      <w:r w:rsidRPr="00286A57">
        <w:rPr>
          <w:rStyle w:val="a8"/>
          <w:rFonts w:ascii="Times New Roman" w:hAnsi="Times New Roman" w:cs="Times New Roman"/>
          <w:sz w:val="28"/>
          <w:szCs w:val="28"/>
        </w:rPr>
        <w:t>заббалины</w:t>
      </w:r>
      <w:proofErr w:type="spellEnd"/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 (сборщики мусора) отсортировывают для последующей переработки до 85 % собранного мусора! При таком подходе, кроме экономии и возврата в сферу производства природных и энергетических ресурсов в виде вторсырья, почти в 8 раз сокращается количество </w:t>
      </w:r>
      <w:r w:rsidR="009677A2" w:rsidRPr="00286A57">
        <w:rPr>
          <w:rStyle w:val="a8"/>
          <w:rFonts w:ascii="Times New Roman" w:hAnsi="Times New Roman" w:cs="Times New Roman"/>
          <w:sz w:val="28"/>
          <w:szCs w:val="28"/>
        </w:rPr>
        <w:t>не перерабатываемых</w:t>
      </w:r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 отходов, которые можно либо </w:t>
      </w:r>
      <w:proofErr w:type="spellStart"/>
      <w:r w:rsidRPr="00286A57">
        <w:rPr>
          <w:rStyle w:val="a8"/>
          <w:rFonts w:ascii="Times New Roman" w:hAnsi="Times New Roman" w:cs="Times New Roman"/>
          <w:sz w:val="28"/>
          <w:szCs w:val="28"/>
        </w:rPr>
        <w:t>захоранивать</w:t>
      </w:r>
      <w:proofErr w:type="spellEnd"/>
      <w:r w:rsidRPr="00286A57">
        <w:rPr>
          <w:rStyle w:val="a8"/>
          <w:rFonts w:ascii="Times New Roman" w:hAnsi="Times New Roman" w:cs="Times New Roman"/>
          <w:sz w:val="28"/>
          <w:szCs w:val="28"/>
        </w:rPr>
        <w:t>, либо сжигать для получения дополнительных энергетических ресурсов. В этом случае ущерб окружающей среде от сжигания мусора будет минимальным, т.к. сжигаться будут обезвреженные отходы, не содержащие ни тяжелых металлов, ни пластиков, ни других токсичных материалов. Кроме того, и мусоросжигательных заводов для сжигания такого количества отходов понадобится в 8 раз меньше, а это огромная экономия для государства! Для того чтобы это понять, достаточно провести предварительную оценку экологических эффектов и экономических выгод от прекращения практики захоронения отходов без сортировки.</w:t>
      </w:r>
    </w:p>
    <w:p w:rsidR="00286A57" w:rsidRPr="00286A57" w:rsidRDefault="00286A57" w:rsidP="00286A57">
      <w:pPr>
        <w:pStyle w:val="ab"/>
        <w:ind w:left="426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286A57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Итак, обратимся еще раз к зарубежному опыту организации раздельного сбора мусора. В системах раздельного сбора </w:t>
      </w:r>
      <w:r w:rsidR="009677A2" w:rsidRPr="00286A57">
        <w:rPr>
          <w:rStyle w:val="a8"/>
          <w:rFonts w:ascii="Times New Roman" w:hAnsi="Times New Roman" w:cs="Times New Roman"/>
          <w:sz w:val="28"/>
          <w:szCs w:val="28"/>
        </w:rPr>
        <w:t>Т</w:t>
      </w:r>
      <w:r w:rsidR="009677A2">
        <w:rPr>
          <w:rStyle w:val="a8"/>
          <w:rFonts w:ascii="Times New Roman" w:hAnsi="Times New Roman" w:cs="Times New Roman"/>
          <w:sz w:val="28"/>
          <w:szCs w:val="28"/>
        </w:rPr>
        <w:t>К</w:t>
      </w:r>
      <w:r w:rsidR="009677A2" w:rsidRPr="00286A57">
        <w:rPr>
          <w:rStyle w:val="a8"/>
          <w:rFonts w:ascii="Times New Roman" w:hAnsi="Times New Roman" w:cs="Times New Roman"/>
          <w:sz w:val="28"/>
          <w:szCs w:val="28"/>
        </w:rPr>
        <w:t>О</w:t>
      </w:r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 разных стран есть общие обязательные элементы, которые делают эти системы эффективными.</w:t>
      </w:r>
    </w:p>
    <w:p w:rsidR="00286A57" w:rsidRPr="00286A57" w:rsidRDefault="00286A57" w:rsidP="00286A57">
      <w:pPr>
        <w:pStyle w:val="ab"/>
        <w:ind w:left="426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ОБЩИЕ ОБЯЗАТЕЛЬНЫЕ ЭЛЕМЕНТЫ СИСТЕМ </w:t>
      </w:r>
    </w:p>
    <w:p w:rsidR="00286A57" w:rsidRPr="00286A57" w:rsidRDefault="00286A57" w:rsidP="00286A57">
      <w:pPr>
        <w:pStyle w:val="ab"/>
        <w:ind w:left="426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РАЗДЕЛЬНОГО СБОРА </w:t>
      </w:r>
      <w:r w:rsidR="009677A2" w:rsidRPr="00286A57">
        <w:rPr>
          <w:rStyle w:val="a8"/>
          <w:rFonts w:ascii="Times New Roman" w:hAnsi="Times New Roman" w:cs="Times New Roman"/>
          <w:sz w:val="28"/>
          <w:szCs w:val="28"/>
        </w:rPr>
        <w:t>Т</w:t>
      </w:r>
      <w:r w:rsidR="009677A2">
        <w:rPr>
          <w:rStyle w:val="a8"/>
          <w:rFonts w:ascii="Times New Roman" w:hAnsi="Times New Roman" w:cs="Times New Roman"/>
          <w:sz w:val="28"/>
          <w:szCs w:val="28"/>
        </w:rPr>
        <w:t>К</w:t>
      </w:r>
      <w:r w:rsidR="009677A2" w:rsidRPr="00286A57">
        <w:rPr>
          <w:rStyle w:val="a8"/>
          <w:rFonts w:ascii="Times New Roman" w:hAnsi="Times New Roman" w:cs="Times New Roman"/>
          <w:sz w:val="28"/>
          <w:szCs w:val="28"/>
        </w:rPr>
        <w:t>О</w:t>
      </w:r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 РАЗНЫХ СТРАН</w:t>
      </w:r>
    </w:p>
    <w:p w:rsidR="00286A57" w:rsidRPr="00286A57" w:rsidRDefault="00286A57" w:rsidP="00286A57">
      <w:pPr>
        <w:pStyle w:val="ab"/>
        <w:ind w:left="426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286A57">
        <w:rPr>
          <w:rStyle w:val="a8"/>
          <w:rFonts w:ascii="Times New Roman" w:hAnsi="Times New Roman" w:cs="Times New Roman"/>
          <w:sz w:val="28"/>
          <w:szCs w:val="28"/>
        </w:rPr>
        <w:t>РАСПРЕДЕЛЕНИЕ ОТВЕТСТВЕННОСТИ ЗА СБОР,</w:t>
      </w:r>
    </w:p>
    <w:p w:rsidR="00286A57" w:rsidRPr="00286A57" w:rsidRDefault="00286A57" w:rsidP="00286A57">
      <w:pPr>
        <w:pStyle w:val="ab"/>
        <w:ind w:left="426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286A57">
        <w:rPr>
          <w:rStyle w:val="a8"/>
          <w:rFonts w:ascii="Times New Roman" w:hAnsi="Times New Roman" w:cs="Times New Roman"/>
          <w:sz w:val="28"/>
          <w:szCs w:val="28"/>
        </w:rPr>
        <w:t xml:space="preserve"> УТИЛИЗАЦИЮ И ОБЕЗВРЕЖИВАНИЕ ОТХОДОВ</w:t>
      </w:r>
    </w:p>
    <w:p w:rsidR="00286A57" w:rsidRPr="00286A57" w:rsidRDefault="00286A57" w:rsidP="009677A2">
      <w:pPr>
        <w:pStyle w:val="ab"/>
        <w:ind w:left="426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286A57">
        <w:rPr>
          <w:rStyle w:val="a8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2F9743" wp14:editId="4FCAAB52">
            <wp:extent cx="7140575" cy="2989580"/>
            <wp:effectExtent l="0" t="0" r="3175" b="1270"/>
            <wp:docPr id="10" name="Рисунок 10" descr="https://www.profiz.ru/pictures/different/5_pic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profiz.ru/pictures/different/5_pic_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286A57">
        <w:rPr>
          <w:rStyle w:val="a8"/>
          <w:rFonts w:ascii="Times New Roman" w:hAnsi="Times New Roman" w:cs="Times New Roman"/>
          <w:sz w:val="28"/>
          <w:szCs w:val="28"/>
        </w:rPr>
        <w:t> </w:t>
      </w:r>
    </w:p>
    <w:p w:rsidR="000A32C0" w:rsidRPr="00286A57" w:rsidRDefault="000A32C0" w:rsidP="00286A57">
      <w:pPr>
        <w:pStyle w:val="ab"/>
        <w:ind w:left="426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sectPr w:rsidR="000A32C0" w:rsidRPr="00286A57" w:rsidSect="00286A57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396"/>
    <w:multiLevelType w:val="multilevel"/>
    <w:tmpl w:val="082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15C88"/>
    <w:multiLevelType w:val="multilevel"/>
    <w:tmpl w:val="255A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57"/>
    <w:rsid w:val="000A32C0"/>
    <w:rsid w:val="00286A57"/>
    <w:rsid w:val="007F1457"/>
    <w:rsid w:val="009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A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286A57"/>
  </w:style>
  <w:style w:type="paragraph" w:styleId="a3">
    <w:name w:val="Normal (Web)"/>
    <w:basedOn w:val="a"/>
    <w:uiPriority w:val="99"/>
    <w:unhideWhenUsed/>
    <w:rsid w:val="0028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6A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A5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86A5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86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6A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-share-form-button">
    <w:name w:val="b-share-form-button"/>
    <w:basedOn w:val="a0"/>
    <w:rsid w:val="00286A57"/>
  </w:style>
  <w:style w:type="character" w:styleId="a8">
    <w:name w:val="Strong"/>
    <w:basedOn w:val="a0"/>
    <w:uiPriority w:val="22"/>
    <w:qFormat/>
    <w:rsid w:val="00286A57"/>
    <w:rPr>
      <w:b/>
      <w:bCs/>
    </w:rPr>
  </w:style>
  <w:style w:type="character" w:styleId="a9">
    <w:name w:val="Emphasis"/>
    <w:basedOn w:val="a0"/>
    <w:uiPriority w:val="20"/>
    <w:qFormat/>
    <w:rsid w:val="00286A57"/>
    <w:rPr>
      <w:i/>
      <w:iCs/>
    </w:rPr>
  </w:style>
  <w:style w:type="character" w:styleId="aa">
    <w:name w:val="footnote reference"/>
    <w:basedOn w:val="a0"/>
    <w:uiPriority w:val="99"/>
    <w:semiHidden/>
    <w:unhideWhenUsed/>
    <w:rsid w:val="00286A57"/>
  </w:style>
  <w:style w:type="paragraph" w:styleId="ab">
    <w:name w:val="List Paragraph"/>
    <w:basedOn w:val="a"/>
    <w:uiPriority w:val="34"/>
    <w:qFormat/>
    <w:rsid w:val="00286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A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286A57"/>
  </w:style>
  <w:style w:type="paragraph" w:styleId="a3">
    <w:name w:val="Normal (Web)"/>
    <w:basedOn w:val="a"/>
    <w:uiPriority w:val="99"/>
    <w:unhideWhenUsed/>
    <w:rsid w:val="0028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6A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A5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86A5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86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6A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-share-form-button">
    <w:name w:val="b-share-form-button"/>
    <w:basedOn w:val="a0"/>
    <w:rsid w:val="00286A57"/>
  </w:style>
  <w:style w:type="character" w:styleId="a8">
    <w:name w:val="Strong"/>
    <w:basedOn w:val="a0"/>
    <w:uiPriority w:val="22"/>
    <w:qFormat/>
    <w:rsid w:val="00286A57"/>
    <w:rPr>
      <w:b/>
      <w:bCs/>
    </w:rPr>
  </w:style>
  <w:style w:type="character" w:styleId="a9">
    <w:name w:val="Emphasis"/>
    <w:basedOn w:val="a0"/>
    <w:uiPriority w:val="20"/>
    <w:qFormat/>
    <w:rsid w:val="00286A57"/>
    <w:rPr>
      <w:i/>
      <w:iCs/>
    </w:rPr>
  </w:style>
  <w:style w:type="character" w:styleId="aa">
    <w:name w:val="footnote reference"/>
    <w:basedOn w:val="a0"/>
    <w:uiPriority w:val="99"/>
    <w:semiHidden/>
    <w:unhideWhenUsed/>
    <w:rsid w:val="00286A57"/>
  </w:style>
  <w:style w:type="paragraph" w:styleId="ab">
    <w:name w:val="List Paragraph"/>
    <w:basedOn w:val="a"/>
    <w:uiPriority w:val="34"/>
    <w:qFormat/>
    <w:rsid w:val="0028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036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2017-12-11T07:12:00Z</dcterms:created>
  <dcterms:modified xsi:type="dcterms:W3CDTF">2017-12-14T07:03:00Z</dcterms:modified>
</cp:coreProperties>
</file>